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83" w:rsidRPr="009F6C4D" w:rsidRDefault="006C2683" w:rsidP="006C2683">
      <w:pPr>
        <w:pStyle w:val="4"/>
        <w:spacing w:before="90"/>
      </w:pPr>
      <w:bookmarkStart w:id="0" w:name="_Toc94188620"/>
      <w:r w:rsidRPr="009F6C4D">
        <w:t>表</w:t>
      </w:r>
      <w:r w:rsidRPr="009F6C4D">
        <w:t>1-2-2  1</w:t>
      </w:r>
      <w:r>
        <w:rPr>
          <w:rFonts w:hint="eastAsia"/>
        </w:rPr>
        <w:t>10</w:t>
      </w:r>
      <w:r w:rsidRPr="009F6C4D">
        <w:t>學年度學士班專業課程對應核心能力一覽表</w:t>
      </w:r>
      <w:bookmarkEnd w:id="0"/>
    </w:p>
    <w:tbl>
      <w:tblPr>
        <w:tblStyle w:val="TableNormal2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1276"/>
        <w:gridCol w:w="2977"/>
      </w:tblGrid>
      <w:tr w:rsidR="006C2683" w:rsidRPr="00EE5CB2" w:rsidTr="004A5807">
        <w:trPr>
          <w:trHeight w:val="428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專業課程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類別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科目</w:t>
            </w:r>
            <w:r w:rsidRPr="00414715">
              <w:rPr>
                <w:rFonts w:cs="Times New Roman"/>
                <w:sz w:val="24"/>
                <w:szCs w:val="24"/>
              </w:rPr>
              <w:t xml:space="preserve">/ </w:t>
            </w:r>
            <w:r w:rsidRPr="00414715">
              <w:rPr>
                <w:rFonts w:cs="Times New Roman" w:hint="eastAsia"/>
                <w:sz w:val="24"/>
                <w:szCs w:val="24"/>
              </w:rPr>
              <w:t>學分數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開課學分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總數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相對應之核心能力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136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商管基礎課程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（基本科目）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必修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經濟學（</w:t>
            </w:r>
            <w:r w:rsidRPr="00414715">
              <w:rPr>
                <w:rFonts w:cs="Times New Roman"/>
                <w:sz w:val="24"/>
                <w:szCs w:val="24"/>
              </w:rPr>
              <w:t>1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3</w:t>
            </w:r>
          </w:p>
          <w:p w:rsidR="006C2683" w:rsidRPr="00414715" w:rsidRDefault="006C2683" w:rsidP="004A58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經濟學（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3</w:t>
            </w:r>
          </w:p>
          <w:p w:rsidR="006C2683" w:rsidRPr="00414715" w:rsidRDefault="006C2683" w:rsidP="004A58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會計學（</w:t>
            </w:r>
            <w:r w:rsidRPr="00414715">
              <w:rPr>
                <w:rFonts w:cs="Times New Roman"/>
                <w:sz w:val="24"/>
                <w:szCs w:val="24"/>
              </w:rPr>
              <w:t>1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3</w:t>
            </w:r>
          </w:p>
          <w:p w:rsidR="006C2683" w:rsidRPr="00414715" w:rsidRDefault="006C2683" w:rsidP="004A58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會計學（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3</w:t>
            </w:r>
          </w:p>
          <w:p w:rsidR="006C2683" w:rsidRPr="00414715" w:rsidRDefault="006C2683" w:rsidP="004A58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統計學（</w:t>
            </w:r>
            <w:r w:rsidRPr="00414715">
              <w:rPr>
                <w:rFonts w:cs="Times New Roman"/>
                <w:sz w:val="24"/>
                <w:szCs w:val="24"/>
              </w:rPr>
              <w:t>1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</w:p>
          <w:p w:rsidR="006C2683" w:rsidRPr="00414715" w:rsidRDefault="006C2683" w:rsidP="004A58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統計學（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</w:p>
          <w:p w:rsidR="006C2683" w:rsidRPr="00414715" w:rsidRDefault="006C2683" w:rsidP="004A58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商用數學（</w:t>
            </w:r>
            <w:r w:rsidRPr="00414715">
              <w:rPr>
                <w:rFonts w:cs="Times New Roman"/>
                <w:sz w:val="24"/>
                <w:szCs w:val="24"/>
              </w:rPr>
              <w:t>1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</w:tc>
        <w:bookmarkStart w:id="1" w:name="_GoBack"/>
        <w:bookmarkEnd w:id="1"/>
      </w:tr>
      <w:tr w:rsidR="006C2683" w:rsidRPr="00EE5CB2" w:rsidTr="004A5807">
        <w:tblPrEx>
          <w:shd w:val="clear" w:color="auto" w:fill="D0DDEF"/>
        </w:tblPrEx>
        <w:trPr>
          <w:trHeight w:val="1361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國際企業概論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設計思考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商事法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</w:t>
            </w:r>
            <w:r w:rsidRPr="00446D53">
              <w:rPr>
                <w:rFonts w:cs="Times New Roman" w:hint="eastAsia"/>
                <w:color w:val="000000" w:themeColor="text1"/>
                <w:sz w:val="24"/>
                <w:szCs w:val="24"/>
              </w:rPr>
              <w:t>跨領域</w:t>
            </w:r>
            <w:r w:rsidRPr="00414715">
              <w:rPr>
                <w:rFonts w:cs="Times New Roman" w:hint="eastAsia"/>
                <w:sz w:val="24"/>
                <w:szCs w:val="24"/>
              </w:rPr>
              <w:t>整合能力</w:t>
            </w:r>
          </w:p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具備國際素養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557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企業管理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（功能性科目）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必修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管理學原理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行銷學原理</w:t>
            </w:r>
            <w:r w:rsidRPr="00414715">
              <w:rPr>
                <w:rFonts w:cs="Times New Roman"/>
                <w:sz w:val="24"/>
                <w:szCs w:val="24"/>
              </w:rPr>
              <w:t xml:space="preserve"> 3 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國際行銷管理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創新管理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具備跨領域整合能力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具備國際素養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557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keepNext/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實習</w:t>
            </w:r>
            <w:r w:rsidRPr="00414715">
              <w:rPr>
                <w:rFonts w:cs="Times New Roman"/>
                <w:sz w:val="24"/>
                <w:szCs w:val="24"/>
              </w:rPr>
              <w:t>/</w:t>
            </w:r>
            <w:r w:rsidRPr="00414715">
              <w:rPr>
                <w:rFonts w:cs="Times New Roman" w:hint="eastAsia"/>
                <w:sz w:val="24"/>
                <w:szCs w:val="24"/>
              </w:rPr>
              <w:t>專題（</w:t>
            </w:r>
            <w:r w:rsidRPr="00414715">
              <w:rPr>
                <w:rFonts w:cs="Times New Roman"/>
                <w:sz w:val="24"/>
                <w:szCs w:val="24"/>
              </w:rPr>
              <w:t>1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具備專業倫理及敬業態度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具備跨領域整合能力</w:t>
            </w:r>
          </w:p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具備領導與溝通能力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817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企業管理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（功能性科目）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選修</w:t>
            </w:r>
          </w:p>
          <w:p w:rsidR="006C2683" w:rsidRPr="00414715" w:rsidRDefault="006C2683" w:rsidP="004A5807">
            <w:pPr>
              <w:spacing w:after="180" w:line="0" w:lineRule="atLeast"/>
              <w:ind w:firstLine="48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跨文化溝通</w:t>
            </w:r>
            <w:r w:rsidRPr="00414715">
              <w:rPr>
                <w:rFonts w:cs="Times New Roman"/>
                <w:sz w:val="24"/>
                <w:szCs w:val="24"/>
              </w:rPr>
              <w:t xml:space="preserve"> 2 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商務溝通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具備跨領域整合能力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具備領導與溝通能力</w:t>
            </w:r>
          </w:p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具備國際素養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817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="180" w:line="0" w:lineRule="atLeast"/>
              <w:ind w:firstLine="4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國際經貿法規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國際時尚行銷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創新概論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行銷研究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品牌管理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服務管理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1471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具備跨領域整合能力</w:t>
            </w:r>
          </w:p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具備國際素養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267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="180" w:line="0" w:lineRule="atLeast"/>
              <w:ind w:firstLine="4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國際實務（</w:t>
            </w:r>
            <w:r w:rsidRPr="00414715">
              <w:rPr>
                <w:rFonts w:cs="Times New Roman"/>
                <w:sz w:val="24"/>
                <w:szCs w:val="24"/>
              </w:rPr>
              <w:t>1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國際實務（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</w:p>
          <w:p w:rsidR="006C2683" w:rsidRPr="00414715" w:rsidRDefault="006C2683" w:rsidP="004A5807">
            <w:pPr>
              <w:keepNext/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社會企業責任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實習</w:t>
            </w:r>
            <w:r w:rsidRPr="00414715">
              <w:rPr>
                <w:rFonts w:cs="Times New Roman"/>
                <w:sz w:val="24"/>
                <w:szCs w:val="24"/>
              </w:rPr>
              <w:t>/</w:t>
            </w:r>
            <w:r w:rsidRPr="00414715">
              <w:rPr>
                <w:rFonts w:cs="Times New Roman" w:hint="eastAsia"/>
                <w:sz w:val="24"/>
                <w:szCs w:val="24"/>
              </w:rPr>
              <w:t>專題（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 xml:space="preserve">3 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實習</w:t>
            </w:r>
            <w:r w:rsidRPr="00414715">
              <w:rPr>
                <w:rFonts w:cs="Times New Roman"/>
                <w:sz w:val="24"/>
                <w:szCs w:val="24"/>
              </w:rPr>
              <w:t>/</w:t>
            </w:r>
            <w:r w:rsidRPr="00414715">
              <w:rPr>
                <w:rFonts w:cs="Times New Roman" w:hint="eastAsia"/>
                <w:sz w:val="24"/>
                <w:szCs w:val="24"/>
              </w:rPr>
              <w:t>專題（</w:t>
            </w:r>
            <w:r w:rsidRPr="00414715">
              <w:rPr>
                <w:rFonts w:cs="Times New Roman"/>
                <w:sz w:val="24"/>
                <w:szCs w:val="24"/>
              </w:rPr>
              <w:t>3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 xml:space="preserve">3  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實習</w:t>
            </w:r>
            <w:r w:rsidRPr="00414715">
              <w:rPr>
                <w:rFonts w:cs="Times New Roman"/>
                <w:sz w:val="24"/>
                <w:szCs w:val="24"/>
              </w:rPr>
              <w:t>/</w:t>
            </w:r>
            <w:r w:rsidRPr="00414715">
              <w:rPr>
                <w:rFonts w:cs="Times New Roman" w:hint="eastAsia"/>
                <w:sz w:val="24"/>
                <w:szCs w:val="24"/>
              </w:rPr>
              <w:t>專題（</w:t>
            </w:r>
            <w:r w:rsidRPr="00414715">
              <w:rPr>
                <w:rFonts w:cs="Times New Roman"/>
                <w:sz w:val="24"/>
                <w:szCs w:val="24"/>
              </w:rPr>
              <w:t>4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 xml:space="preserve">3 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Lines="0" w:after="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實習</w:t>
            </w:r>
            <w:r w:rsidRPr="00414715">
              <w:rPr>
                <w:rFonts w:cs="Times New Roman"/>
                <w:sz w:val="24"/>
                <w:szCs w:val="24"/>
              </w:rPr>
              <w:t>/</w:t>
            </w:r>
            <w:r w:rsidRPr="00414715">
              <w:rPr>
                <w:rFonts w:cs="Times New Roman" w:hint="eastAsia"/>
                <w:sz w:val="24"/>
                <w:szCs w:val="24"/>
              </w:rPr>
              <w:t>專題（</w:t>
            </w:r>
            <w:r w:rsidRPr="00414715">
              <w:rPr>
                <w:rFonts w:cs="Times New Roman"/>
                <w:sz w:val="24"/>
                <w:szCs w:val="24"/>
              </w:rPr>
              <w:t>5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 xml:space="preserve">3 </w:t>
            </w:r>
          </w:p>
          <w:p w:rsidR="006C2683" w:rsidRPr="00414715" w:rsidRDefault="006C2683" w:rsidP="004A5807">
            <w:pPr>
              <w:keepNext/>
              <w:spacing w:after="180" w:line="0" w:lineRule="atLeast"/>
              <w:ind w:firstLineChars="0" w:firstLine="0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實習</w:t>
            </w:r>
            <w:r w:rsidRPr="00414715">
              <w:rPr>
                <w:rFonts w:cs="Times New Roman"/>
                <w:sz w:val="24"/>
                <w:szCs w:val="24"/>
              </w:rPr>
              <w:t>/</w:t>
            </w:r>
            <w:r w:rsidRPr="00414715">
              <w:rPr>
                <w:rFonts w:cs="Times New Roman" w:hint="eastAsia"/>
                <w:sz w:val="24"/>
                <w:szCs w:val="24"/>
              </w:rPr>
              <w:t>專題（</w:t>
            </w:r>
            <w:r w:rsidRPr="00414715">
              <w:rPr>
                <w:rFonts w:cs="Times New Roman"/>
                <w:sz w:val="24"/>
                <w:szCs w:val="24"/>
              </w:rPr>
              <w:t>6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="18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具備專業倫理及敬業態度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具備跨領域整合能力</w:t>
            </w:r>
          </w:p>
          <w:p w:rsidR="006C2683" w:rsidRPr="00414715" w:rsidRDefault="006C2683" w:rsidP="004A5807">
            <w:pPr>
              <w:spacing w:after="18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具備領導與溝通能力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131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財務管理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（功能性科目）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（分析性科目）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必修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國際財務管理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管理會計學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管理經濟學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具備國際素養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557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財務管理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（功能性科目）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（分析性科目）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選修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財務報表分析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企業總體決策經濟學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國際經濟學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財務會計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14715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具備國際素養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557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商用數學（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14715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51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一般及人力資源管理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（領導能力）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必修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企業倫理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國際組織行為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國際人力資源管理</w:t>
            </w:r>
            <w:r w:rsidRPr="00414715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具備專業倫理及敬業態度</w:t>
            </w:r>
          </w:p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具備國際素養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131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策略管理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（整合性科目）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  <w:bdr w:val="none" w:sz="0" w:space="0" w:color="auto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必修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國際企業經營策略</w:t>
            </w:r>
            <w:r w:rsidRPr="00414715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具備國際素養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223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策略管理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（整合性科目）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選修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組織策略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商業個案研究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商業實務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創業與領導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跨國企業個案分析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商業溝通與談判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專案管理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商務畢業專題研究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獨立研究</w:t>
            </w:r>
            <w:r w:rsidRPr="00414715">
              <w:rPr>
                <w:rFonts w:cs="Times New Roman"/>
                <w:sz w:val="24"/>
                <w:szCs w:val="24"/>
              </w:rPr>
              <w:t>(1)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獨立研究</w:t>
            </w:r>
            <w:r w:rsidRPr="00414715">
              <w:rPr>
                <w:rFonts w:cs="Times New Roman"/>
                <w:sz w:val="24"/>
                <w:szCs w:val="24"/>
              </w:rPr>
              <w:t>(2)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14715"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具備跨領域整合能力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具備領導與溝通能力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具備國際素養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作業管理</w:t>
            </w:r>
          </w:p>
          <w:p w:rsidR="006C2683" w:rsidRPr="00414715" w:rsidRDefault="006C2683" w:rsidP="004A5807">
            <w:pPr>
              <w:spacing w:afterLines="0" w:after="0" w:line="0" w:lineRule="atLeast"/>
              <w:ind w:leftChars="-32" w:left="-90"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（功能性科目）</w:t>
            </w:r>
          </w:p>
          <w:p w:rsidR="006C2683" w:rsidRPr="00414715" w:rsidRDefault="006C2683" w:rsidP="004A5807">
            <w:pPr>
              <w:spacing w:afterLines="0" w:after="0" w:line="0" w:lineRule="atLeast"/>
              <w:ind w:leftChars="-32" w:left="-90" w:firstLineChars="0" w:firstLine="0"/>
              <w:jc w:val="center"/>
              <w:rPr>
                <w:rFonts w:cs="Times New Roman"/>
                <w:sz w:val="24"/>
                <w:szCs w:val="24"/>
                <w:bdr w:val="none" w:sz="0" w:space="0" w:color="auto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選修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全球供應鏈管理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outlineLvl w:val="1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具備國際素養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2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電子商務與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資訊管理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必修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資訊科技應用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數據分析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2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電子商務與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資訊管理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選修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商業智慧分析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大數據與人工智慧在生活上的應用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數位媒體設計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數位構築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設計文化趨勢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初探資料視覺化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數位行銷與溝通</w:t>
            </w:r>
            <w:r w:rsidRPr="00414715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媒體與社會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具備跨領域整合能力</w:t>
            </w:r>
          </w:p>
        </w:tc>
      </w:tr>
      <w:tr w:rsidR="006C2683" w:rsidRPr="00EE5CB2" w:rsidTr="004A5807">
        <w:tblPrEx>
          <w:shd w:val="clear" w:color="auto" w:fill="D0DDEF"/>
        </w:tblPrEx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語文訓練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b/>
                <w:sz w:val="24"/>
                <w:szCs w:val="24"/>
                <w:u w:val="single"/>
              </w:rPr>
              <w:t>選修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第二外語（</w:t>
            </w:r>
            <w:r w:rsidRPr="00414715">
              <w:rPr>
                <w:rFonts w:cs="Times New Roman"/>
                <w:sz w:val="24"/>
                <w:szCs w:val="24"/>
              </w:rPr>
              <w:t>1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第二外語（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  <w:r w:rsidRPr="00414715">
              <w:rPr>
                <w:rFonts w:cs="Times New Roman" w:hint="eastAsia"/>
                <w:sz w:val="24"/>
                <w:szCs w:val="24"/>
              </w:rPr>
              <w:t>）</w:t>
            </w:r>
            <w:r w:rsidRPr="00414715">
              <w:rPr>
                <w:rFonts w:cs="Times New Roman"/>
                <w:sz w:val="24"/>
                <w:szCs w:val="24"/>
              </w:rPr>
              <w:t>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主題式英語討論</w:t>
            </w:r>
            <w:r w:rsidRPr="00414715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414715">
              <w:rPr>
                <w:rFonts w:cs="Times New Roman" w:hint="eastAsia"/>
                <w:sz w:val="24"/>
                <w:szCs w:val="24"/>
              </w:rPr>
              <w:t>一</w:t>
            </w:r>
            <w:proofErr w:type="gramEnd"/>
            <w:r w:rsidRPr="00414715">
              <w:rPr>
                <w:rFonts w:cs="Times New Roman"/>
                <w:sz w:val="24"/>
                <w:szCs w:val="24"/>
              </w:rPr>
              <w:t>)-</w:t>
            </w:r>
            <w:r w:rsidRPr="00414715">
              <w:rPr>
                <w:rFonts w:cs="Times New Roman" w:hint="eastAsia"/>
                <w:sz w:val="24"/>
                <w:szCs w:val="24"/>
              </w:rPr>
              <w:t>邏輯與設計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主題式英語討論</w:t>
            </w:r>
            <w:r w:rsidRPr="00414715">
              <w:rPr>
                <w:rFonts w:cs="Times New Roman"/>
                <w:sz w:val="24"/>
                <w:szCs w:val="24"/>
              </w:rPr>
              <w:t>(</w:t>
            </w:r>
            <w:r w:rsidRPr="00414715">
              <w:rPr>
                <w:rFonts w:cs="Times New Roman" w:hint="eastAsia"/>
                <w:sz w:val="24"/>
                <w:szCs w:val="24"/>
              </w:rPr>
              <w:t>二</w:t>
            </w:r>
            <w:r w:rsidRPr="00414715">
              <w:rPr>
                <w:rFonts w:cs="Times New Roman"/>
                <w:sz w:val="24"/>
                <w:szCs w:val="24"/>
              </w:rPr>
              <w:t>)-</w:t>
            </w:r>
            <w:r w:rsidRPr="00414715">
              <w:rPr>
                <w:rFonts w:cs="Times New Roman" w:hint="eastAsia"/>
                <w:sz w:val="24"/>
                <w:szCs w:val="24"/>
              </w:rPr>
              <w:t>近代至未來設計</w:t>
            </w:r>
            <w:r w:rsidRPr="00414715"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spacing w:afterLines="0" w:after="0" w:line="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83" w:rsidRPr="00414715" w:rsidRDefault="006C2683" w:rsidP="004A58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具備專業知識與應用能力</w:t>
            </w:r>
          </w:p>
          <w:p w:rsidR="006C2683" w:rsidRPr="00414715" w:rsidRDefault="006C2683" w:rsidP="004A5807">
            <w:pPr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具備跨領域整合能力</w:t>
            </w:r>
          </w:p>
          <w:p w:rsidR="006C2683" w:rsidRPr="00414715" w:rsidRDefault="006C2683" w:rsidP="004A5807">
            <w:p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autoSpaceDE/>
              <w:autoSpaceDN/>
              <w:spacing w:afterLines="0" w:after="0" w:line="0" w:lineRule="atLeast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414715">
              <w:rPr>
                <w:rFonts w:cs="Times New Roman" w:hint="eastAsia"/>
                <w:sz w:val="24"/>
                <w:szCs w:val="24"/>
              </w:rPr>
              <w:t>具備國際素養</w:t>
            </w:r>
          </w:p>
        </w:tc>
      </w:tr>
    </w:tbl>
    <w:p w:rsidR="006C2683" w:rsidRPr="00414715" w:rsidRDefault="006C2683" w:rsidP="006C2683">
      <w:pPr>
        <w:pStyle w:val="a3"/>
        <w:rPr>
          <w:lang w:val="en-US"/>
        </w:rPr>
      </w:pPr>
    </w:p>
    <w:p w:rsidR="00AC3B81" w:rsidRPr="006C2683" w:rsidRDefault="00AC3B81">
      <w:pPr>
        <w:spacing w:after="180"/>
        <w:rPr>
          <w:lang w:val="en-US"/>
        </w:rPr>
      </w:pPr>
    </w:p>
    <w:sectPr w:rsidR="00AC3B81" w:rsidRPr="006C26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3"/>
    <w:rsid w:val="00446D53"/>
    <w:rsid w:val="006C2683"/>
    <w:rsid w:val="00A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E26F3-75F4-4C40-8BA2-7ECF38EA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683"/>
    <w:pPr>
      <w:widowControl w:val="0"/>
      <w:autoSpaceDE w:val="0"/>
      <w:autoSpaceDN w:val="0"/>
      <w:spacing w:afterLines="50" w:after="120" w:line="440" w:lineRule="exact"/>
      <w:ind w:firstLineChars="200" w:firstLine="560"/>
      <w:jc w:val="both"/>
    </w:pPr>
    <w:rPr>
      <w:rFonts w:ascii="標楷體" w:eastAsia="標楷體" w:hAnsi="標楷體" w:cs="Noto Sans Mono CJK JP Regular"/>
      <w:kern w:val="0"/>
      <w:sz w:val="28"/>
      <w:u w:color="000000"/>
      <w:lang w:val="zh-TW" w:bidi="zh-TW"/>
    </w:rPr>
  </w:style>
  <w:style w:type="paragraph" w:styleId="4">
    <w:name w:val="heading 4"/>
    <w:aliases w:val="表"/>
    <w:basedOn w:val="a"/>
    <w:next w:val="a"/>
    <w:link w:val="40"/>
    <w:autoRedefine/>
    <w:uiPriority w:val="9"/>
    <w:unhideWhenUsed/>
    <w:qFormat/>
    <w:rsid w:val="006C2683"/>
    <w:pPr>
      <w:keepNext/>
      <w:autoSpaceDE/>
      <w:autoSpaceDN/>
      <w:spacing w:beforeLines="25" w:before="60" w:afterLines="0" w:after="0" w:line="0" w:lineRule="atLeast"/>
      <w:ind w:firstLineChars="0" w:firstLine="0"/>
      <w:jc w:val="center"/>
      <w:outlineLvl w:val="3"/>
    </w:pPr>
    <w:rPr>
      <w:rFonts w:ascii="Times New Roman" w:hAnsi="Times New Roman" w:cs="Times New Roman"/>
      <w:color w:val="1F4E79" w:themeColor="accent1" w:themeShade="80"/>
      <w:kern w:val="2"/>
      <w:szCs w:val="36"/>
      <w:bdr w:val="nil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aliases w:val="表 字元"/>
    <w:basedOn w:val="a0"/>
    <w:link w:val="4"/>
    <w:uiPriority w:val="9"/>
    <w:rsid w:val="006C2683"/>
    <w:rPr>
      <w:rFonts w:ascii="Times New Roman" w:eastAsia="標楷體" w:hAnsi="Times New Roman" w:cs="Times New Roman"/>
      <w:color w:val="1F4E79" w:themeColor="accent1" w:themeShade="80"/>
      <w:sz w:val="28"/>
      <w:szCs w:val="36"/>
      <w:u w:color="000000"/>
      <w:bdr w:val="nil"/>
    </w:rPr>
  </w:style>
  <w:style w:type="paragraph" w:styleId="a3">
    <w:name w:val="Body Text"/>
    <w:basedOn w:val="a"/>
    <w:link w:val="a4"/>
    <w:uiPriority w:val="1"/>
    <w:qFormat/>
    <w:rsid w:val="006C2683"/>
    <w:pPr>
      <w:spacing w:afterLines="0" w:line="0" w:lineRule="atLeast"/>
      <w:ind w:firstLineChars="0" w:firstLine="0"/>
    </w:pPr>
    <w:rPr>
      <w:szCs w:val="28"/>
    </w:rPr>
  </w:style>
  <w:style w:type="character" w:customStyle="1" w:styleId="a4">
    <w:name w:val="本文 字元"/>
    <w:basedOn w:val="a0"/>
    <w:link w:val="a3"/>
    <w:uiPriority w:val="1"/>
    <w:rsid w:val="006C2683"/>
    <w:rPr>
      <w:rFonts w:ascii="標楷體" w:eastAsia="標楷體" w:hAnsi="標楷體" w:cs="Noto Sans Mono CJK JP Regular"/>
      <w:kern w:val="0"/>
      <w:sz w:val="28"/>
      <w:szCs w:val="28"/>
      <w:u w:color="000000"/>
      <w:lang w:val="zh-TW" w:bidi="zh-TW"/>
    </w:rPr>
  </w:style>
  <w:style w:type="table" w:customStyle="1" w:styleId="TableNormal2">
    <w:name w:val="Table Normal2"/>
    <w:qFormat/>
    <w:rsid w:val="006C26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2022-04-21T06:31:00Z</dcterms:created>
  <dcterms:modified xsi:type="dcterms:W3CDTF">2022-04-21T07:43:00Z</dcterms:modified>
</cp:coreProperties>
</file>